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4727F6CC" w:rsidR="00C23216" w:rsidRPr="00450087" w:rsidRDefault="001E56D3" w:rsidP="00FE71B8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FE71B8" w:rsidRPr="00FE71B8">
        <w:rPr>
          <w:bCs w:val="0"/>
          <w:sz w:val="20"/>
          <w:szCs w:val="20"/>
        </w:rPr>
        <w:t xml:space="preserve">RE Sieradz: obszar </w:t>
      </w:r>
      <w:r w:rsidR="00E80591" w:rsidRPr="00E80591">
        <w:rPr>
          <w:bCs w:val="0"/>
          <w:sz w:val="20"/>
          <w:szCs w:val="20"/>
        </w:rPr>
        <w:t>gminy Warta, Błaszki, Goszczanów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>Wykonanie 1 metra przecisku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47E9B" w14:textId="77777777" w:rsidR="00D85DA1" w:rsidRDefault="00D85DA1" w:rsidP="001E56D3">
      <w:pPr>
        <w:spacing w:line="240" w:lineRule="auto"/>
      </w:pPr>
      <w:r>
        <w:separator/>
      </w:r>
    </w:p>
  </w:endnote>
  <w:endnote w:type="continuationSeparator" w:id="0">
    <w:p w14:paraId="6A77720E" w14:textId="77777777" w:rsidR="00D85DA1" w:rsidRDefault="00D85DA1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4528F" w14:textId="77777777" w:rsidR="009F058A" w:rsidRDefault="009F05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30D112F9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F2E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936D0" w14:textId="77777777" w:rsidR="00D85DA1" w:rsidRDefault="00D85DA1" w:rsidP="001E56D3">
      <w:pPr>
        <w:spacing w:line="240" w:lineRule="auto"/>
      </w:pPr>
      <w:r>
        <w:separator/>
      </w:r>
    </w:p>
  </w:footnote>
  <w:footnote w:type="continuationSeparator" w:id="0">
    <w:p w14:paraId="70EB3BF8" w14:textId="77777777" w:rsidR="00D85DA1" w:rsidRDefault="00D85DA1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E662" w14:textId="77777777" w:rsidR="009F058A" w:rsidRDefault="009F05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3C2A6018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</w:p>
        <w:p w14:paraId="40B53CAE" w14:textId="4EE9CD61" w:rsidR="00FD139A" w:rsidRPr="00FD139A" w:rsidRDefault="009F058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9F058A">
            <w:rPr>
              <w:rFonts w:ascii="Trebuchet MS" w:eastAsia="Calibri" w:hAnsi="Trebuchet MS"/>
              <w:color w:val="000000"/>
              <w:sz w:val="14"/>
              <w:szCs w:val="18"/>
            </w:rPr>
            <w:t>POST/DYS/OLD/GZ/04355/2025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8752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1BA31CD0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9F058A" w:rsidRPr="009F058A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POST/DYS/OLD/GZ/04355/2025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9486348">
    <w:abstractNumId w:val="1"/>
  </w:num>
  <w:num w:numId="2" w16cid:durableId="18787395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643759">
    <w:abstractNumId w:val="11"/>
  </w:num>
  <w:num w:numId="4" w16cid:durableId="620965704">
    <w:abstractNumId w:val="5"/>
  </w:num>
  <w:num w:numId="5" w16cid:durableId="520172366">
    <w:abstractNumId w:val="2"/>
  </w:num>
  <w:num w:numId="6" w16cid:durableId="1176266496">
    <w:abstractNumId w:val="7"/>
  </w:num>
  <w:num w:numId="7" w16cid:durableId="1340886559">
    <w:abstractNumId w:val="6"/>
  </w:num>
  <w:num w:numId="8" w16cid:durableId="1110903450">
    <w:abstractNumId w:val="0"/>
  </w:num>
  <w:num w:numId="9" w16cid:durableId="2036539945">
    <w:abstractNumId w:val="10"/>
  </w:num>
  <w:num w:numId="10" w16cid:durableId="1433281354">
    <w:abstractNumId w:val="8"/>
  </w:num>
  <w:num w:numId="11" w16cid:durableId="542599501">
    <w:abstractNumId w:val="3"/>
  </w:num>
  <w:num w:numId="12" w16cid:durableId="601884045">
    <w:abstractNumId w:val="9"/>
  </w:num>
  <w:num w:numId="13" w16cid:durableId="456797658">
    <w:abstractNumId w:val="12"/>
  </w:num>
  <w:num w:numId="14" w16cid:durableId="4615761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E5DA7"/>
    <w:rsid w:val="000F3E9B"/>
    <w:rsid w:val="0010031F"/>
    <w:rsid w:val="001028C9"/>
    <w:rsid w:val="001045E2"/>
    <w:rsid w:val="00111A55"/>
    <w:rsid w:val="00112004"/>
    <w:rsid w:val="0011433A"/>
    <w:rsid w:val="00115B5B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449A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0055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8495E"/>
    <w:rsid w:val="00590B70"/>
    <w:rsid w:val="005A245E"/>
    <w:rsid w:val="005A2C2F"/>
    <w:rsid w:val="005A5642"/>
    <w:rsid w:val="005B043E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13EE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C6F2E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B7B0E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8479E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4C5"/>
    <w:rsid w:val="009A36A0"/>
    <w:rsid w:val="009A7858"/>
    <w:rsid w:val="009B27BC"/>
    <w:rsid w:val="009C34A9"/>
    <w:rsid w:val="009C6989"/>
    <w:rsid w:val="009E1214"/>
    <w:rsid w:val="009E24E4"/>
    <w:rsid w:val="009F058A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162D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85DA1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5E47"/>
    <w:rsid w:val="00E26B1C"/>
    <w:rsid w:val="00E26F96"/>
    <w:rsid w:val="00E34265"/>
    <w:rsid w:val="00E403C1"/>
    <w:rsid w:val="00E51B9C"/>
    <w:rsid w:val="00E5263B"/>
    <w:rsid w:val="00E528A9"/>
    <w:rsid w:val="00E53E5B"/>
    <w:rsid w:val="00E55C71"/>
    <w:rsid w:val="00E6186A"/>
    <w:rsid w:val="00E6328B"/>
    <w:rsid w:val="00E7440F"/>
    <w:rsid w:val="00E777E0"/>
    <w:rsid w:val="00E77C3D"/>
    <w:rsid w:val="00E80591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26E45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E71B8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01-06....docx</dmsv2BaseFileName>
    <dmsv2BaseDisplayName xmlns="http://schemas.microsoft.com/sharepoint/v3">Załącznik nr 1.2 do SWZ 01-06...</dmsv2BaseDisplayName>
    <dmsv2SWPP2ObjectNumber xmlns="http://schemas.microsoft.com/sharepoint/v3">POST/DYS/OLD/GZ/04355/2025                        </dmsv2SWPP2ObjectNumber>
    <dmsv2SWPP2SumMD5 xmlns="http://schemas.microsoft.com/sharepoint/v3">dcfeea95ad0ad0d31cf4a86d37ef9640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23899409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JEUP5JKVCYQC-1440096624-10326</_dlc_DocId>
    <_dlc_DocIdUrl xmlns="a19cb1c7-c5c7-46d4-85ae-d83685407bba">
      <Url>https://swpp2.dms.gkpge.pl/sites/41/_layouts/15/DocIdRedir.aspx?ID=JEUP5JKVCYQC-1440096624-10326</Url>
      <Description>JEUP5JKVCYQC-1440096624-10326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5C2708-E174-4CA4-8C27-D39D7B91E35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63D4C4F-FA48-4C91-9B82-700A7D8B01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92140-F52B-4424-93A4-E9AD9089CE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77E815-D8D8-48DD-898E-D43C621E94C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564DDF7-EDC3-4B5A-B05C-E72F90BC33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11</Pages>
  <Words>3585</Words>
  <Characters>21514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Chrzanowska Jolanta [PGE Dystr. O.Łódź]</cp:lastModifiedBy>
  <cp:revision>183</cp:revision>
  <cp:lastPrinted>2025-10-28T08:10:00Z</cp:lastPrinted>
  <dcterms:created xsi:type="dcterms:W3CDTF">2016-07-14T05:49:00Z</dcterms:created>
  <dcterms:modified xsi:type="dcterms:W3CDTF">2025-12-03T08:02:00Z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8bfd0dc2-1d1e-4d7b-b6c6-bdcf4cc1f347</vt:lpwstr>
  </property>
</Properties>
</file>